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37210"/>
                <wp:effectExtent b="0" l="0" r="0" t="0"/>
                <wp:wrapNone/>
                <wp:docPr id="1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459800" y="3511375"/>
                          <a:ext cx="7772400" cy="537210"/>
                          <a:chOff x="1459800" y="3511375"/>
                          <a:chExt cx="7772400" cy="537250"/>
                        </a:xfrm>
                      </wpg:grpSpPr>
                      <wpg:grpSp>
                        <wpg:cNvGrpSpPr/>
                        <wpg:grpSpPr>
                          <a:xfrm>
                            <a:off x="1459800" y="3511395"/>
                            <a:ext cx="7772400" cy="537210"/>
                            <a:chOff x="0" y="0"/>
                            <a:chExt cx="7772400" cy="537210"/>
                          </a:xfrm>
                        </wpg:grpSpPr>
                        <wps:wsp>
                          <wps:cNvSpPr/>
                          <wps:cNvPr id="8" name="Shape 8"/>
                          <wps:spPr>
                            <a:xfrm>
                              <a:off x="0" y="0"/>
                              <a:ext cx="7772400" cy="53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0" y="0"/>
                              <a:ext cx="7772400" cy="537210"/>
                            </a:xfrm>
                            <a:prstGeom prst="rect">
                              <a:avLst/>
                            </a:pr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731520" y="234950"/>
                              <a:ext cx="3796030" cy="202565"/>
                            </a:xfrm>
                            <a:custGeom>
                              <a:rect b="b" l="l" r="r" t="t"/>
                              <a:pathLst>
                                <a:path extrusionOk="0" h="202565" w="3796030">
                                  <a:moveTo>
                                    <a:pt x="0" y="0"/>
                                  </a:moveTo>
                                  <a:lnTo>
                                    <a:pt x="0" y="202565"/>
                                  </a:lnTo>
                                  <a:lnTo>
                                    <a:pt x="3796030" y="202565"/>
                                  </a:lnTo>
                                  <a:lnTo>
                                    <a:pt x="37960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319.0000247955322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G E N E R A L	A N A E S T E S I A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5651500" y="234950"/>
                              <a:ext cx="1402080" cy="202565"/>
                            </a:xfrm>
                            <a:custGeom>
                              <a:rect b="b" l="l" r="r" t="t"/>
                              <a:pathLst>
                                <a:path extrusionOk="0" h="202565" w="1402080">
                                  <a:moveTo>
                                    <a:pt x="0" y="0"/>
                                  </a:moveTo>
                                  <a:lnTo>
                                    <a:pt x="0" y="202565"/>
                                  </a:lnTo>
                                  <a:lnTo>
                                    <a:pt x="1402080" y="202565"/>
                                  </a:lnTo>
                                  <a:lnTo>
                                    <a:pt x="14020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319.0000247955322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Tutorial 474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537210"/>
                <wp:effectExtent b="0" l="0" r="0" t="0"/>
                <wp:wrapNone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372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spacing w:line="228" w:lineRule="auto"/>
        <w:ind w:firstLine="112"/>
        <w:rPr/>
      </w:pPr>
      <w:r w:rsidDel="00000000" w:rsidR="00000000" w:rsidRPr="00000000">
        <w:rPr>
          <w:color w:val="231f20"/>
          <w:rtl w:val="0"/>
        </w:rPr>
        <w:t xml:space="preserve">Avaliação Pré-cirúrgica de Pacientes com Epilepsia: O Teste Wada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4822393</wp:posOffset>
            </wp:positionH>
            <wp:positionV relativeFrom="paragraph">
              <wp:posOffset>81721</wp:posOffset>
            </wp:positionV>
            <wp:extent cx="1556638" cy="1874164"/>
            <wp:effectExtent b="0" l="0" r="0" t="0"/>
            <wp:wrapNone/>
            <wp:docPr id="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6638" cy="18741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112" w:firstLine="0"/>
        <w:rPr/>
      </w:pPr>
      <w:r w:rsidDel="00000000" w:rsidR="00000000" w:rsidRPr="00000000">
        <w:rPr>
          <w:color w:val="231f20"/>
          <w:rtl w:val="0"/>
        </w:rPr>
        <w:t xml:space="preserve">Phoebe Wing-hei Leung</w:t>
      </w:r>
      <w:r w:rsidDel="00000000" w:rsidR="00000000" w:rsidRPr="00000000">
        <w:rPr>
          <w:color w:val="231f20"/>
          <w:vertAlign w:val="superscript"/>
          <w:rtl w:val="0"/>
        </w:rPr>
        <w:t xml:space="preserve">1†</w:t>
      </w:r>
      <w:r w:rsidDel="00000000" w:rsidR="00000000" w:rsidRPr="00000000">
        <w:rPr>
          <w:color w:val="231f20"/>
          <w:rtl w:val="0"/>
        </w:rPr>
        <w:t xml:space="preserve">, Eric Chun-kwong Chung</w:t>
      </w:r>
      <w:r w:rsidDel="00000000" w:rsidR="00000000" w:rsidRPr="00000000">
        <w:rPr>
          <w:color w:val="231f20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3" w:line="254" w:lineRule="auto"/>
        <w:ind w:left="112" w:right="3552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Resident, Departamento de Serviços de Anestesiologia e Cirurgia, Queen Elizabeth Hospital, Hong Kong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6" w:lineRule="auto"/>
        <w:ind w:left="1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Consultor Associado, Departamento de Anestesiologia, Queen Mary Hospital, Hong Kong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" w:line="254" w:lineRule="auto"/>
        <w:ind w:left="112" w:right="2962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Editado por: Dra. Clara Ching-mei Poon, Professora Associada Clínica Honorária, Universidade de Hong Kong, Consultora, Departamento de Anestesiologia, Queen Mary Hospital, Hong Kong; Editor convidado:  Dr. Lashmi Venkatraghavan, Professor Associado,  Universidade de Toronto, Diretor de Neuroanestesia, Departamento de Anestesia e Medicina da Dor, Toronto Western Hospital, Canadá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superscript"/>
          <w:rtl w:val="0"/>
        </w:rPr>
        <w:t xml:space="preserve">†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E-mail do autor correspondente: </w:t>
      </w:r>
      <w:hyperlink r:id="rId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231f20"/>
            <w:sz w:val="18"/>
            <w:szCs w:val="18"/>
            <w:u w:val="none"/>
            <w:shd w:fill="auto" w:val="clear"/>
            <w:vertAlign w:val="baseline"/>
            <w:rtl w:val="0"/>
          </w:rPr>
          <w:t xml:space="preserve">leungpwh93@gmail.com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Publicado em 14 de junho de 2022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177800</wp:posOffset>
                </wp:positionV>
                <wp:extent cx="6318885" cy="1762125"/>
                <wp:effectExtent b="0" l="0" r="0" t="0"/>
                <wp:wrapTopAndBottom distB="0" distT="0"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191320" y="2903700"/>
                          <a:ext cx="6309360" cy="1752600"/>
                        </a:xfrm>
                        <a:custGeom>
                          <a:rect b="b" l="l" r="r" t="t"/>
                          <a:pathLst>
                            <a:path extrusionOk="0" h="1752600" w="6309360">
                              <a:moveTo>
                                <a:pt x="0" y="0"/>
                              </a:moveTo>
                              <a:lnTo>
                                <a:pt x="0" y="1752600"/>
                              </a:lnTo>
                              <a:lnTo>
                                <a:pt x="6309360" y="1752600"/>
                              </a:lnTo>
                              <a:lnTo>
                                <a:pt x="6309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DD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143.00000190734863" w:line="240"/>
                              <w:ind w:left="178.99999618530273" w:right="0" w:firstLine="178.99999618530273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PONTOS-CHAVE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38.99999618530273" w:line="240"/>
                              <w:ind w:left="0" w:right="0" w:firstLine="-192.9999923706054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O exame pré-cirúrgico de um paciente com epilepsia requer contribuição multidisciplinar.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2.999999523162842" w:line="254.00001525878906"/>
                              <w:ind w:left="0" w:right="355.99998474121094" w:firstLine="-185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O teste Wada é usado principalmente para avaliar a linguagem hemisférica e a dominância da memória para determinar a viabilidade da ressecção cirúrgica.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4.00001525878906"/>
                              <w:ind w:left="0" w:right="355.99998474121094" w:firstLine="-185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 compreensão dos princípios do teste WADA permite que os anestesiologistas auxiliem na investigação e antecipem possíveis desafios perioperatórios que o paciente possa encontrar.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186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Não existe um protocolo padronizado para o teste WADA.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0" w:line="240"/>
                              <w:ind w:left="0" w:right="0" w:firstLine="-186.00000381469727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 escassez de amobarbital levou ao uso de outros anestésicos, como propofol, etomidato e metohexital.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12.999999523162842" w:line="254.00001525878906"/>
                              <w:ind w:left="0" w:right="357.00000762939453" w:firstLine="-185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Com o advento das técnicas de imagem não invasivas, a necessidade de realizar o teste Wada foi reduzida para grupos selecionados de pacientes para cirurgia de epilepsia.</w:t>
                            </w:r>
                          </w:p>
                        </w:txbxContent>
                      </wps:txbx>
                      <wps:bodyPr anchorCtr="0" anchor="t" bIns="38100" lIns="0" spcFirstLastPara="1" rIns="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177800</wp:posOffset>
                </wp:positionV>
                <wp:extent cx="6318885" cy="1762125"/>
                <wp:effectExtent b="0" l="0" r="0" t="0"/>
                <wp:wrapTopAndBottom distB="0" distT="0"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8885" cy="1762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240" w:lineRule="auto"/>
        <w:ind w:left="1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INTRODUÇÃO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" w:line="261" w:lineRule="auto"/>
        <w:ind w:left="111" w:right="11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A epilepsia é um distúrbio neurológico crônico comum caracterizado por convulsões recorrentes, sendo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30% dos pacientes refratários ao tratamento médico.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Entre as epilepsias refratárias, a epilepsia do lobo temporal (TLE) é um subtipo importante, pois é frequentemente associada ao resultado cirúrgico mais favorável. Intervenções cirúrgicas, como a lobectomia temporal, servem como opções valiosas de tratamento 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nes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ses pacientes para melhorar o controle de convulsões e a qualidade de vida. A avaliação pré-cirúrgica abrangente desempenha um papel integral na seleção de candidatos cirúrgicos e geralmente envolve uma bateria de exames de imagem, avaliações neurofisiológicas e avaliações neuropsicológicas. Os principais objetivos são identificar anormalidades estruturais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zonas epileptogênicas e localizar quaisquer tecidos neurais funcionais perto dos focos de convulsão. A viabilidade da cirurgia é então determinada, equilibrando os benefícios do controle de convulsões 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versus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os riscos potenciais de infligir grandes déficits neurológicos.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6" w:line="259" w:lineRule="auto"/>
        <w:ind w:left="111" w:right="109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Um dos testes diagnósticos realizados é o teste Wada, 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o qual um medicamento anestésico é injetado seletivamente em cada lado do cérebro para avaliar suas funções individuais de linguagem e memória. O teste é oferecido a pacientes com focos tecnicamente ressecáveis no lobo temporal e fornece informações sobre o potencial déficit funcional pós-operatório. Os anestesiologistas estão envolvidos na administração do medicamento anestésico e no monitoramento do paciente durante o teste Wada.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8" w:line="259" w:lineRule="auto"/>
        <w:ind w:left="111" w:right="11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Com um foco particular no teste Wada, o objetivo desta revisão é discutir as contribuições anestésicas para a avaliação multidisciplinar de pacientes 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em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sua potencial candidatura à cirurgia de epilepsia. Compreender os conceitos básicos do teste WADA 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2"/>
          <w:szCs w:val="1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88900</wp:posOffset>
                </wp:positionV>
                <wp:extent cx="1270" cy="12700"/>
                <wp:effectExtent b="0" l="0" r="0" t="0"/>
                <wp:wrapTopAndBottom distB="0" distT="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919665" y="3779365"/>
                          <a:ext cx="4852670" cy="1270"/>
                        </a:xfrm>
                        <a:custGeom>
                          <a:rect b="b" l="l" r="r" t="t"/>
                          <a:pathLst>
                            <a:path extrusionOk="0" h="1270" w="4852670">
                              <a:moveTo>
                                <a:pt x="0" y="0"/>
                              </a:moveTo>
                              <a:lnTo>
                                <a:pt x="4852035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231F2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88900</wp:posOffset>
                </wp:positionV>
                <wp:extent cx="1270" cy="12700"/>
                <wp:effectExtent b="0" l="0" r="0" t="0"/>
                <wp:wrapTopAndBottom distB="0" distT="0"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232" w:lineRule="auto"/>
        <w:ind w:left="112" w:right="2413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sectPr>
          <w:footerReference r:id="rId12" w:type="default"/>
          <w:pgSz w:h="15840" w:w="12240" w:orient="portrait"/>
          <w:pgMar w:bottom="1080" w:top="0" w:left="1040" w:right="1040" w:header="0" w:footer="882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Um teste online está disponível para educação médica continuada autodirigida (CME). Estima-se que demore 1 hora para ser concluído. Registre o tempo gasto e relate isso ao seu organismo de credenciamento se desejar reivindicar os pontos CME. Um certificado será concedido após a aprovação no teste. Consulte a política de acreditação </w:t>
      </w:r>
      <w:hyperlink r:id="rId13">
        <w:r w:rsidDel="00000000" w:rsidR="00000000" w:rsidRPr="00000000">
          <w:rPr>
            <w:rFonts w:ascii="Arial" w:cs="Arial" w:eastAsia="Arial" w:hAnsi="Arial"/>
            <w:b w:val="0"/>
            <w:i w:val="1"/>
            <w:smallCaps w:val="0"/>
            <w:strike w:val="0"/>
            <w:color w:val="0000ff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aqui</w:t>
        </w:r>
      </w:hyperlink>
      <w:hyperlink r:id="rId14">
        <w:r w:rsidDel="00000000" w:rsidR="00000000" w:rsidRPr="00000000">
          <w:rPr>
            <w:rFonts w:ascii="Arial" w:cs="Arial" w:eastAsia="Arial" w:hAnsi="Arial"/>
            <w:b w:val="0"/>
            <w:i w:val="1"/>
            <w:smallCaps w:val="0"/>
            <w:strike w:val="0"/>
            <w:color w:val="000000"/>
            <w:sz w:val="16"/>
            <w:szCs w:val="16"/>
            <w:u w:val="none"/>
            <w:shd w:fill="auto" w:val="clear"/>
            <w:vertAlign w:val="baseline"/>
            <w:rtl w:val="0"/>
          </w:rPr>
          <w:t xml:space="preserve">.</w:t>
        </w:r>
      </w:hyperlink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5118100</wp:posOffset>
                </wp:positionH>
                <wp:positionV relativeFrom="paragraph">
                  <wp:posOffset>12700</wp:posOffset>
                </wp:positionV>
                <wp:extent cx="1428115" cy="488315"/>
                <wp:effectExtent b="0" l="0" r="0" t="0"/>
                <wp:wrapNone/>
                <wp:docPr id="1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628500" y="3532750"/>
                          <a:ext cx="1428115" cy="488315"/>
                          <a:chOff x="4628500" y="3532750"/>
                          <a:chExt cx="1435000" cy="493650"/>
                        </a:xfrm>
                      </wpg:grpSpPr>
                      <wpg:grpSp>
                        <wpg:cNvGrpSpPr/>
                        <wpg:grpSpPr>
                          <a:xfrm>
                            <a:off x="4631943" y="3535843"/>
                            <a:ext cx="1428115" cy="488315"/>
                            <a:chOff x="0" y="0"/>
                            <a:chExt cx="1428115" cy="488315"/>
                          </a:xfrm>
                        </wpg:grpSpPr>
                        <wps:wsp>
                          <wps:cNvSpPr/>
                          <wps:cNvPr id="8" name="Shape 8"/>
                          <wps:spPr>
                            <a:xfrm>
                              <a:off x="0" y="0"/>
                              <a:ext cx="1428100" cy="488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" name="Shape 20"/>
                          <wps:spPr>
                            <a:xfrm>
                              <a:off x="0" y="0"/>
                              <a:ext cx="1428115" cy="488315"/>
                            </a:xfrm>
                            <a:prstGeom prst="rect">
                              <a:avLst/>
                            </a:prstGeom>
                            <a:solidFill>
                              <a:srgbClr val="7DC04D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" name="Shape 21"/>
                          <wps:spPr>
                            <a:xfrm>
                              <a:off x="68448" y="346627"/>
                              <a:ext cx="1291217" cy="16867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" name="Shape 22"/>
                          <wps:spPr>
                            <a:xfrm>
                              <a:off x="1329" y="1686"/>
                              <a:ext cx="1425456" cy="484098"/>
                            </a:xfrm>
                            <a:custGeom>
                              <a:rect b="b" l="l" r="r" t="t"/>
                              <a:pathLst>
                                <a:path extrusionOk="0" h="484098" w="1425456">
                                  <a:moveTo>
                                    <a:pt x="0" y="0"/>
                                  </a:moveTo>
                                  <a:lnTo>
                                    <a:pt x="0" y="484098"/>
                                  </a:lnTo>
                                  <a:lnTo>
                                    <a:pt x="1425456" y="484098"/>
                                  </a:lnTo>
                                  <a:lnTo>
                                    <a:pt x="14254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rgbClr val="466E3F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148.99999618530273" w:line="240"/>
                                  <w:ind w:left="98.00000190734863" w:right="0" w:firstLine="98.0000019073486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FAÇA O TESTE ONLINE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5118100</wp:posOffset>
                </wp:positionH>
                <wp:positionV relativeFrom="paragraph">
                  <wp:posOffset>12700</wp:posOffset>
                </wp:positionV>
                <wp:extent cx="1428115" cy="488315"/>
                <wp:effectExtent b="0" l="0" r="0" t="0"/>
                <wp:wrapNone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8115" cy="4883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266" w:lineRule="auto"/>
        <w:ind w:left="0" w:right="11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essencial para que os anestesiologistas auxiliem na investigação e antecipem possíveis desafios perioperatórios que o paciente possa encontrar.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CIRURGIA DE EPILEPSIA E AVALIAÇÃO PRÉ-CIRÚRGICA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" w:line="266" w:lineRule="auto"/>
        <w:ind w:left="112" w:right="11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A cirurgia de epilepsia terapêutica engloba ressecção curativa e intervenção paliativa. A ressecção curativa visa a remoção completa das zonas epileptogênicas responsáveis por desencadear as convulsões, sem interromper as áreas eloquentes nas proximidades. A lesionectomia é um exemplo em que lesões focais bem definidas são ressecadas. A lobectomia temporal e a amígdalohipocampectomia seletiva são opções para ELT com lesões isoladas ao lobo temporal, comumente decorrentes do hipocampo e da amígdala.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1" w:line="266" w:lineRule="auto"/>
        <w:ind w:left="112" w:right="11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Tanto a cirurgia de desconexão quanto a neuromodulação são procedimentos paliativos. A cirurgia de desconexão interrompe principalmente as vias nervosas que se acredita estarem envolvidas na disseminação da atividade epiléptica, enquanto a neuromodulação envolve o uso de um dispositivo elétrico para alterar a atividade nervosa.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0" w:line="268" w:lineRule="auto"/>
        <w:ind w:left="112" w:right="109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A avaliação pré-cirúrgica requer contribuições multidisciplinares de neurocirurgiões, neurofisiologistas, radiologistas, anestesiologistas, psiquiatras e neuropsicólogos clínicos. Uma série de testes diagnósticos são realizados (Tabela 1), e as informações obtidas fornecem informações sobre os processos epilépticos, a organização cerebral das habilidades cognitivas e a segurança da ressecção. Isso é relevante no contexto da cirurgia de epilepsia, pois é importante preservar as regiões funcionais do cérebro durante a remoção do córtex epileptogênico, especialmente as áreas eloquentes responsáveis pela linguagem e memória. A decisão de realizar a cirurgia é, portanto, um equilíbrio 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entre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alcançar o controle de convulsões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o risco projetado de induzir déficit cognitivo e neurológico inaceitável da cirurgia.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O TESTE WADA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2" w:line="268" w:lineRule="auto"/>
        <w:ind w:left="111" w:right="11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O teste Wada, também conhecido como teste amobarbital intracarotídeo, recebeu o nome de Juhn Atsushi Wada, um neurologista japonês. O teste foi inicialmente desenvolvido para estudar os efeitos colaterais da linguagem e da memória da terapia eletroconvulsiva. No final da década de 1940, foi incorporada à avaliação pré-operatória da dominância da linguagem cerebral na cirurgia de epilepsia. O teste foi posteriormente estendido para a avaliação da função da memória hemisférica na década de 1960.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Atualmente, é indicado para a avaliação da dominância da linguagem e da capacidade de memória em pacientes planejados para a ressecção de estruturas do lobo temporal.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Técnica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3" w:line="268" w:lineRule="auto"/>
        <w:ind w:left="112" w:right="11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Durante o teste Wada, cada hemisfério cerebral é inativado transitoriamente pela injeção de uma pequena dose de anestésico na respectiva artéria carótida interna de suprimento. A capacidade de cada hemisfério para suportar a linguagem e a função da memória pode então ser avaliada. Essas informações ajudam a prever déficits cognitivos pós-operatórios e 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geram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discussões de risco-benefício quando a ressecção cirúrgica é uma opção.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177800</wp:posOffset>
                </wp:positionV>
                <wp:extent cx="6309360" cy="2796540"/>
                <wp:effectExtent b="0" l="0" r="0" t="0"/>
                <wp:wrapNone/>
                <wp:docPr id="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191300" y="2381075"/>
                          <a:ext cx="6309360" cy="2796540"/>
                          <a:chOff x="2191300" y="2381075"/>
                          <a:chExt cx="6309400" cy="3485400"/>
                        </a:xfrm>
                      </wpg:grpSpPr>
                      <wpg:grpSp>
                        <wpg:cNvGrpSpPr/>
                        <wpg:grpSpPr>
                          <a:xfrm>
                            <a:off x="2191320" y="2381095"/>
                            <a:ext cx="6309360" cy="2797160"/>
                            <a:chOff x="0" y="-635"/>
                            <a:chExt cx="6309360" cy="2797160"/>
                          </a:xfrm>
                        </wpg:grpSpPr>
                        <wps:wsp>
                          <wps:cNvSpPr/>
                          <wps:cNvPr id="8" name="Shape 8"/>
                          <wps:spPr>
                            <a:xfrm>
                              <a:off x="0" y="0"/>
                              <a:ext cx="6309350" cy="2796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0" y="-635"/>
                              <a:ext cx="6309360" cy="2796540"/>
                            </a:xfrm>
                            <a:custGeom>
                              <a:rect b="b" l="l" r="r" t="t"/>
                              <a:pathLst>
                                <a:path extrusionOk="0" h="2796540" w="6309360">
                                  <a:moveTo>
                                    <a:pt x="6309360" y="2783205"/>
                                  </a:moveTo>
                                  <a:lnTo>
                                    <a:pt x="0" y="2783205"/>
                                  </a:lnTo>
                                  <a:lnTo>
                                    <a:pt x="0" y="2796540"/>
                                  </a:lnTo>
                                  <a:lnTo>
                                    <a:pt x="6309360" y="2796540"/>
                                  </a:lnTo>
                                  <a:lnTo>
                                    <a:pt x="6309360" y="2783205"/>
                                  </a:lnTo>
                                  <a:close/>
                                  <a:moveTo>
                                    <a:pt x="63093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700"/>
                                  </a:lnTo>
                                  <a:lnTo>
                                    <a:pt x="0" y="2783205"/>
                                  </a:lnTo>
                                  <a:lnTo>
                                    <a:pt x="12699" y="2783205"/>
                                  </a:lnTo>
                                  <a:lnTo>
                                    <a:pt x="12699" y="215265"/>
                                  </a:lnTo>
                                  <a:lnTo>
                                    <a:pt x="2268855" y="215265"/>
                                  </a:lnTo>
                                  <a:lnTo>
                                    <a:pt x="3069590" y="215265"/>
                                  </a:lnTo>
                                  <a:lnTo>
                                    <a:pt x="6296660" y="215265"/>
                                  </a:lnTo>
                                  <a:lnTo>
                                    <a:pt x="6296660" y="2783205"/>
                                  </a:lnTo>
                                  <a:lnTo>
                                    <a:pt x="6309360" y="2783205"/>
                                  </a:lnTo>
                                  <a:lnTo>
                                    <a:pt x="6309360" y="12700"/>
                                  </a:lnTo>
                                  <a:lnTo>
                                    <a:pt x="6309360" y="12700"/>
                                  </a:lnTo>
                                  <a:lnTo>
                                    <a:pt x="63093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DC04D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3062605" y="264160"/>
                              <a:ext cx="3208655" cy="2524125"/>
                            </a:xfrm>
                            <a:custGeom>
                              <a:rect b="b" l="l" r="r" t="t"/>
                              <a:pathLst>
                                <a:path extrusionOk="0" h="2524125" w="3208655">
                                  <a:moveTo>
                                    <a:pt x="0" y="0"/>
                                  </a:moveTo>
                                  <a:lnTo>
                                    <a:pt x="0" y="2524125"/>
                                  </a:lnTo>
                                  <a:lnTo>
                                    <a:pt x="3208655" y="2524125"/>
                                  </a:lnTo>
                                  <a:lnTo>
                                    <a:pt x="32086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-162.0000076293945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Ressonância magnética (RM).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.999999523162842" w:line="240"/>
                                  <w:ind w:left="0" w:right="0" w:firstLine="-162.0000076293945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Tomografia computadorizada (TC)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.000000476837158" w:line="240"/>
                                  <w:ind w:left="0" w:right="0" w:firstLine="-162.0000076293945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Eletroencefalograma não invasivo (EEG)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.000000238418579" w:line="240"/>
                                  <w:ind w:left="0" w:right="0" w:firstLine="-162.00000762939453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Vídeo EEG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.999999523162842" w:line="254.00001525878906"/>
                                  <w:ind w:left="0" w:right="17.999999523162842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EEG invasivo (eletrocorticografia intraoperatória [ECoG] usando grade/tira subdural intracraniana e/ou eletrodos de profundidade)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06.00000381469727"/>
                                  <w:ind w:left="162.99999237060547" w:right="0" w:firstLine="1.0000000149011612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Ressonância magnética funcional (fMRI)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.000000476837158" w:line="240"/>
                                  <w:ind w:left="162.99999237060547" w:right="0" w:firstLine="1.0000000149011612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TC de emissão de fóton único (SPECT)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.999999523162842" w:line="240"/>
                                  <w:ind w:left="162.99999237060547" w:right="0" w:firstLine="1.0000000149011612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Magnetoencefalografia (MEG)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.000000476837158" w:line="240"/>
                                  <w:ind w:left="161.00000381469727" w:right="0" w:firstLine="161.0000038146972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Ressonância magnética funcional (fMRI)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.000000476837158" w:line="240"/>
                                  <w:ind w:left="161.00000381469727" w:right="0" w:firstLine="161.0000038146972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Tomografia por emissão de positrões (PET)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.999999523162842" w:line="240"/>
                                  <w:ind w:left="161.00000381469727" w:right="0" w:firstLine="161.0000038146972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MEG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.000000476837158" w:line="240"/>
                                  <w:ind w:left="161.00000381469727" w:right="0" w:firstLine="161.0000038146972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ECoG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.000000476837158" w:line="240"/>
                                  <w:ind w:left="161.00000381469727" w:right="0" w:firstLine="161.0000038146972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Teste Wada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.999999523162842" w:line="240"/>
                                  <w:ind w:left="161.00000381469727" w:right="0" w:firstLine="161.0000038146972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Teste Wada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.000000238418579" w:line="240"/>
                                  <w:ind w:left="161.00000381469727" w:right="0" w:firstLine="161.0000038146972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SPECT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.000000476837158" w:line="240"/>
                                  <w:ind w:left="161.00000381469727" w:right="0" w:firstLine="161.0000038146972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PET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2.999999523162842" w:line="240"/>
                                  <w:ind w:left="161.00000381469727" w:right="0" w:firstLine="161.00000381469727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MEG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50165" y="264160"/>
                              <a:ext cx="2192655" cy="2063115"/>
                            </a:xfrm>
                            <a:custGeom>
                              <a:rect b="b" l="l" r="r" t="t"/>
                              <a:pathLst>
                                <a:path extrusionOk="0" h="2063115" w="2192655">
                                  <a:moveTo>
                                    <a:pt x="0" y="0"/>
                                  </a:moveTo>
                                  <a:lnTo>
                                    <a:pt x="0" y="2063115"/>
                                  </a:lnTo>
                                  <a:lnTo>
                                    <a:pt x="2192655" y="2063115"/>
                                  </a:lnTo>
                                  <a:lnTo>
                                    <a:pt x="219265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Identificação de anormalidades estruturais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.0000000149011612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.0000000149011612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Localização da (s) zona(s) epileptogênica (s)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.000000059604645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5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Mapeamento das áreas funcionais corticais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4.000000059604645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8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3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Detecção de déficit funcional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4398645" y="61595"/>
                              <a:ext cx="542925" cy="114300"/>
                            </a:xfrm>
                            <a:custGeom>
                              <a:rect b="b" l="l" r="r" t="t"/>
                              <a:pathLst>
                                <a:path extrusionOk="0" h="114300" w="542925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542925" y="114300"/>
                                  </a:lnTo>
                                  <a:lnTo>
                                    <a:pt x="5429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Exemplos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50165" y="61595"/>
                              <a:ext cx="525145" cy="114300"/>
                            </a:xfrm>
                            <a:custGeom>
                              <a:rect b="b" l="l" r="r" t="t"/>
                              <a:pathLst>
                                <a:path extrusionOk="0" h="114300" w="525145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  <a:lnTo>
                                    <a:pt x="525145" y="114300"/>
                                  </a:lnTo>
                                  <a:lnTo>
                                    <a:pt x="52514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18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Objetivo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177800</wp:posOffset>
                </wp:positionV>
                <wp:extent cx="6309360" cy="2796540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9360" cy="27965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" w:line="240" w:lineRule="auto"/>
        <w:ind w:left="343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1080" w:top="960" w:left="1040" w:right="1040" w:header="0" w:footer="882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Tabela 1. Exemplos de Testes de Diagnóstico Feitos como Parte da Avaliação Pré-Cirúrgica (Adaptado de Baumgartner et 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264" w:lineRule="auto"/>
        <w:ind w:left="112" w:right="11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Não há protocolo padronizado, e a prática varia entre os centros. A variabilidad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e ocorre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desde a escolha do medicamento, a dose utilizada, a taxa de infusão, o lado testado primeiro, as ferramentas para testar a memória e a linguagem e os métodos de pontuação. Comumente, o teste é iniciado no lado presumido da cirurgia e depois repetido no lado contralateral.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" w:line="264" w:lineRule="auto"/>
        <w:ind w:left="112" w:right="11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No dia, o paciente é levado para a sala de radiologia com eletrodos de eletroencefalograma (EEG) bilaterais ligados ao couro cabeludo. (Figura 1) Registros simultâneos de EEG são essenciais para avaliar o início e o deslocamento do efeito da droga anestésica e para detectar qualquer atividade convulsiva durante o procedimento.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7" w:line="264" w:lineRule="auto"/>
        <w:ind w:left="112" w:right="109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Antes do teste começar, um neurorradiologista realiza um angiograma cerebral. (Figura 2) A artéria femoral é perfurada após anestesia local e um cateter é avançado para as artérias carótidas internas sob orientação fluoroscópica. Com o cateter posicionado distalmente à origem da artéria carótida interna, um angiograma é realizado para visualizar o padrão vascular cerebral e excluir quaisquer anomalias. Uma artéria trigêmea persistente deve ser descartada devido à preocupação de inadvertidamente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379996</wp:posOffset>
            </wp:positionH>
            <wp:positionV relativeFrom="paragraph">
              <wp:posOffset>190483</wp:posOffset>
            </wp:positionV>
            <wp:extent cx="5737692" cy="3004947"/>
            <wp:effectExtent b="0" l="0" r="0" t="0"/>
            <wp:wrapTopAndBottom distB="0" distT="0"/>
            <wp:docPr id="1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7692" cy="30049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" w:line="240" w:lineRule="auto"/>
        <w:ind w:left="1976" w:right="1975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Figura 1. Eletrodos de couro cabeludo com eletroencefalograma bilateral.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1859597</wp:posOffset>
            </wp:positionH>
            <wp:positionV relativeFrom="paragraph">
              <wp:posOffset>117788</wp:posOffset>
            </wp:positionV>
            <wp:extent cx="2703532" cy="2858833"/>
            <wp:effectExtent b="0" l="0" r="0" t="0"/>
            <wp:wrapTopAndBottom distB="0" distT="0"/>
            <wp:docPr id="1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03532" cy="28588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3"/>
          <w:szCs w:val="13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" w:line="240" w:lineRule="auto"/>
        <w:ind w:left="1976" w:right="1976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1080" w:top="960" w:left="1040" w:right="1040" w:header="0" w:footer="882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Figura 2. Angiografia cerebral.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256" w:lineRule="auto"/>
        <w:ind w:left="112" w:right="11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anestesiar o tronco cerebral. Outras variações vasculares, como fluxo cruzado inter-hemisférico significativo ou suprimento alternativo da artéria cerebral posterior via artéria comunicante posterior, podem influenciar os resultados.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" w:line="256" w:lineRule="auto"/>
        <w:ind w:left="112" w:right="108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Após o angiograma, o anestesiologista administra o medicamento anestésico. Antes da injeção, o paciente é solicitado a levantar os dois braços no ar e 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abri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r os dedos enquanto conta em voz alta. Paralisia do braço contralateral ocorre quando a droga está sendo 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administrada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. Um neurologista monitora o EEG e confirma a eficácia da inativação hemisférica. Posteriormente, um neuropsicólogo realiza avaliações visuais, de fala e memória. Depois de completar o primeiro lado, o paciente deve ter algum tempo para se recuperar antes de testar o outro lado. O tempo necessário depende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do medicamento anestésico utilizado.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" w:line="240" w:lineRule="auto"/>
        <w:ind w:left="112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Teste de Idioma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" w:line="256" w:lineRule="auto"/>
        <w:ind w:left="112" w:right="11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Para testar vários componentes da linguagem, o paciente será apresentado a tarefas, como nomear objetos, ler e repetir frases. Embora a maioria dos indivíduos saudáveis e destros seja dominante no hemisfério esquerdo para a linguagem, os pacientes com epilepsia têm maior probabilidade de representação atípica da linguagem. Isto é particularmente verdadeiro para aqueles com foco na convulsão do lado esquerdo, e eles podem apresentar dominância da linguagem bilateral ou lateralizada para a direita. Fatores como a idade de início da convulsão, a localização do foco da convulsão e a destreza das mãos podem contribuir para a reorganização cerebral e a mudança de desenvolvimento na dominância da linguagem.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superscript"/>
          <w:rtl w:val="0"/>
        </w:rPr>
        <w:t xml:space="preserve">4.5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" w:line="240" w:lineRule="auto"/>
        <w:ind w:left="112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Teste de Memória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8" w:line="232" w:lineRule="auto"/>
        <w:ind w:left="111" w:right="11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Uma série de itens será mostrada ao paciente para posterior recordação. (Figura 3) O resultado da avaliação refletiria a capacidade de memória do   hemisfério contralateral,  "lúcido"</w:t>
      </w:r>
      <w:r w:rsidDel="00000000" w:rsidR="00000000" w:rsidRPr="00000000">
        <w:rPr>
          <w:rFonts w:ascii="PMingLiU" w:cs="PMingLiU" w:eastAsia="PMingLiU" w:hAnsi="PMingLiU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não afetado por anestésicos. Uma vez que  o  efeito  da droga se dissipou, como refletido pelo retorno do tônus muscular e EEG normal, os itens exibidos anteriormente são apresentados para reconhecimento. Diferentes centros têm protocolos di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stintos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sobre o que é considerado um "p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ositivo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"</w:t>
      </w:r>
      <w:r w:rsidDel="00000000" w:rsidR="00000000" w:rsidRPr="00000000">
        <w:rPr>
          <w:rFonts w:ascii="PMingLiU" w:cs="PMingLiU" w:eastAsia="PMingLiU" w:hAnsi="PMingLiU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e pode ser baseado no número absoluto de itens corretos ou na diferença entre o desempenho de cada hemisfério.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4" w:line="256" w:lineRule="auto"/>
        <w:ind w:left="111" w:right="11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Duas teorias têm sido descritas para explicar a função do hipocampo no processamento da memória: reserva funcional versus adequação funcional.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superscript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Anestesiar o hemisfério epileptogênico testa a reserva funcional do lobo temporal contralateral, ou seja,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1955355</wp:posOffset>
            </wp:positionH>
            <wp:positionV relativeFrom="paragraph">
              <wp:posOffset>192539</wp:posOffset>
            </wp:positionV>
            <wp:extent cx="2560410" cy="3926966"/>
            <wp:effectExtent b="0" l="0" r="0" t="0"/>
            <wp:wrapTopAndBottom distB="0" distT="0"/>
            <wp:docPr id="1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60410" cy="39269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" w:line="240" w:lineRule="auto"/>
        <w:ind w:left="1976" w:right="1976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1080" w:top="960" w:left="1040" w:right="1040" w:header="0" w:footer="882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Figura 3. Teste de Idioma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254" w:lineRule="auto"/>
        <w:ind w:left="112" w:right="11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sua capacidade de suportar a memória após a cirurgia. O mau desempenho prediz o comprometimento da memória após a ressecção. 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Em contrapartida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, a anestesia do lado contralateral testa a adequação funcional do hemisfério epileptogênico, e isso geralmente provoca um desempenho defeituoso da memória devido ao déficit funcional do lobo temporal doente. Se o hemisfério epileptogênico apresentar um sup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orte 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a função de memória considerável, um declínio de memória mais significativo seria esperado. No caso do ELT esquerdo, a redução da reserva funcional do hemisfério não epileptogênico e a alta adequação funcional do hemisfério epileptogênico sugerem um grande risco de declínio da memória pós-operatória.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9" w:line="240" w:lineRule="auto"/>
        <w:ind w:left="1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Escolha da Droga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54" w:lineRule="auto"/>
        <w:ind w:left="112" w:right="11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A administração intracarotídea de drogas anestésicas apresenta desafios farmacocinéticos únicos, pois a dose intra-arterial necessária é muito menor do que a dose intravenosa, e isso geralmente não varia com o peso do paciente.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1" w:line="254" w:lineRule="auto"/>
        <w:ind w:left="112" w:right="109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O fármaco padrão utilizado para o teste Wada é o amobarbital sódico, que é um barbitúrico com baixa toxicidade e curta duração de ação. No entanto, sua escassez mundial levou à exploração de vários anestésicos. Idealmente, tal droga deve possuir início rápido e compensação de ação, baixa toxicidade e baixo potencial epileptogênico. Além disso, deve produzir efeitos clínicos e eletrofisiológicos consistentes, causando perturbação residual mínima na consciência para permitir múltiplos testes em uma única sessão.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" w:line="240" w:lineRule="auto"/>
        <w:ind w:left="1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Methohexital, pentobarbital, propofol e etomidato foram todos investigados como substitutos (Tabela 2).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superscript"/>
          <w:rtl w:val="0"/>
        </w:rPr>
        <w:t xml:space="preserve">7–10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Possíveis Complicações: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54" w:lineRule="auto"/>
        <w:ind w:left="111" w:right="11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Uma série de casos documentou uma taxa global de complicações de 10,9%.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superscript"/>
          <w:rtl w:val="0"/>
        </w:rPr>
        <w:t xml:space="preserve">14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As complicações neurológicas incluem convulsão, lesão intracraniana, dissecção da artéria carótida, vasoespasmo arterial com ou sem déficits transitórios, acidente vascular cerebral e encefalopatia transitória.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superscript"/>
          <w:rtl w:val="0"/>
        </w:rPr>
        <w:t xml:space="preserve">14,15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Exemplos de complicações não neurológicas são reações de contraste, nefropatia induzida por contraste e hematoma nos locais de punção. Sintomas transitórios relacionados à injeção anestésica também são comuns, variando de uma miríade de sintomas físicos a uma mudança no estado mental. O refluxo inadvertido da droga anestésica na artéria basilar durante a injeção posterior da artéria cerebral pode causar parada respiratória e perda de consciência.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7"/>
          <w:szCs w:val="2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914.0" w:type="dxa"/>
        <w:jc w:val="left"/>
        <w:tblInd w:w="141.0" w:type="dxa"/>
        <w:tblLayout w:type="fixed"/>
        <w:tblLook w:val="0000"/>
      </w:tblPr>
      <w:tblGrid>
        <w:gridCol w:w="1473"/>
        <w:gridCol w:w="1369"/>
        <w:gridCol w:w="2014"/>
        <w:gridCol w:w="2514"/>
        <w:gridCol w:w="2544"/>
        <w:tblGridChange w:id="0">
          <w:tblGrid>
            <w:gridCol w:w="1473"/>
            <w:gridCol w:w="1369"/>
            <w:gridCol w:w="2014"/>
            <w:gridCol w:w="2514"/>
            <w:gridCol w:w="2544"/>
          </w:tblGrid>
        </w:tblGridChange>
      </w:tblGrid>
      <w:tr>
        <w:trPr>
          <w:cantSplit w:val="0"/>
          <w:trHeight w:val="548" w:hRule="atLeast"/>
          <w:tblHeader w:val="0"/>
        </w:trPr>
        <w:tc>
          <w:tcPr>
            <w:shd w:fill="7dc04d" w:val="clear"/>
          </w:tcPr>
          <w:bookmarkStart w:colFirst="0" w:colLast="0" w:name="bookmark=id.gjdgxs" w:id="0"/>
          <w:bookmarkEnd w:id="0"/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9" w:line="254" w:lineRule="auto"/>
              <w:ind w:left="79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Concentração de Drogas</w:t>
            </w:r>
          </w:p>
        </w:tc>
        <w:tc>
          <w:tcPr>
            <w:shd w:fill="7dc04d" w:val="clea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6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Estrutura</w:t>
            </w:r>
          </w:p>
        </w:tc>
        <w:tc>
          <w:tcPr>
            <w:shd w:fill="7dc04d" w:val="clea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3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Dose (Adultos)</w:t>
            </w:r>
          </w:p>
        </w:tc>
        <w:tc>
          <w:tcPr>
            <w:shd w:fill="7dc04d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77" w:right="84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Observações</w:t>
            </w:r>
          </w:p>
        </w:tc>
        <w:tc>
          <w:tcPr>
            <w:shd w:fill="7dc04d" w:val="clea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59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Desvantagens</w:t>
            </w:r>
          </w:p>
        </w:tc>
      </w:tr>
      <w:tr>
        <w:trPr>
          <w:cantSplit w:val="0"/>
          <w:trHeight w:val="6017" w:hRule="atLeast"/>
          <w:tblHeader w:val="0"/>
        </w:trPr>
        <w:tc>
          <w:tcPr>
            <w:tcBorders>
              <w:left w:color="7dc04d" w:space="0" w:sz="12" w:val="single"/>
              <w:bottom w:color="7dc04d" w:space="0" w:sz="8" w:val="single"/>
            </w:tcBorders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54" w:lineRule="auto"/>
              <w:ind w:left="243" w:right="197" w:hanging="1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Amobarbital (25 mg/mL)</w:t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54" w:lineRule="auto"/>
              <w:ind w:left="0" w:right="340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Methohexital (1 mg/mL) Pentobarbital (2 mg/mL)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64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Propofol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1" w:line="240" w:lineRule="auto"/>
              <w:ind w:left="243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(1 mg/mL)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3"/>
                <w:szCs w:val="23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54" w:lineRule="auto"/>
              <w:ind w:left="243" w:right="386" w:hanging="1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Etomidato (2 mg/mL)</w:t>
            </w:r>
          </w:p>
        </w:tc>
        <w:tc>
          <w:tcPr>
            <w:tcBorders>
              <w:bottom w:color="7dc04d" w:space="0" w:sz="8" w:val="single"/>
            </w:tcBorders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40" w:lineRule="auto"/>
              <w:ind w:left="8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Barbitúricos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5"/>
                <w:szCs w:val="25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508" w:lineRule="auto"/>
              <w:ind w:left="8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Barbitúricos Barbitúricos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8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Nonbarbiturate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259" w:right="0" w:hanging="1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Não barbitúrico; derivado de imidazol</w:t>
            </w:r>
          </w:p>
        </w:tc>
        <w:tc>
          <w:tcPr>
            <w:tcBorders>
              <w:bottom w:color="7dc04d" w:space="0" w:sz="8" w:val="single"/>
            </w:tcBorders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40" w:lineRule="auto"/>
              <w:ind w:left="79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75-125 mg, seguido</w:t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259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por 25 mg</w:t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3 mg seguido de 2 mg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20-24 mg seguidos</w:t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2" w:line="240" w:lineRule="auto"/>
              <w:ind w:left="259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por 12-16 mg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9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10-20 mg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4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54" w:lineRule="auto"/>
              <w:ind w:left="259" w:right="55" w:hanging="18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Bólus de 2 mg seguido de uma infusão de 6 mL/h (12 mg/h)</w:t>
            </w:r>
          </w:p>
        </w:tc>
        <w:tc>
          <w:tcPr>
            <w:tcBorders>
              <w:bottom w:color="7dc04d" w:space="0" w:sz="8" w:val="single"/>
            </w:tcBorders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54" w:lineRule="auto"/>
              <w:ind w:left="259" w:right="202" w:hanging="1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Padrão ouro; ação curta; baixa toxicidade; extensa experiência clínica</w:t>
            </w:r>
          </w:p>
          <w:p w:rsidR="00000000" w:rsidDel="00000000" w:rsidP="00000000" w:rsidRDefault="00000000" w:rsidRPr="00000000" w14:paraId="0000008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54" w:lineRule="auto"/>
              <w:ind w:left="259" w:right="63" w:hanging="1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Atuação curta; múltiplos bolus necessários</w:t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259" w:right="233" w:hanging="1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Duração de ação mais longa do que o metohexital, mas mais curta do que o amobarbital; nem sempre requer injeção adicional</w:t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259" w:right="63" w:hanging="1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Atuação curta; múltiplos bolus necessários</w:t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259" w:right="532" w:hanging="1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Efeitos hemodinâmicos mínimos; ação curta; infusão necessária para manter a anestesia</w:t>
            </w:r>
          </w:p>
        </w:tc>
        <w:tc>
          <w:tcPr>
            <w:tcBorders>
              <w:bottom w:color="7dc04d" w:space="0" w:sz="8" w:val="single"/>
              <w:right w:color="7dc04d" w:space="0" w:sz="12" w:val="single"/>
            </w:tcBorders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0" w:line="254" w:lineRule="auto"/>
              <w:ind w:left="274" w:right="44" w:hanging="1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As injeções sucessivas precisam ser separadas por pelo menos 45 minutos para permitir tempo para recuperação eletrográfica, o que pode limitar o número de procedimentos que podem ser feitos em um dia.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superscript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95" w:right="225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Aumento do risco de </w:t>
            </w:r>
          </w:p>
          <w:p w:rsidR="00000000" w:rsidDel="00000000" w:rsidP="00000000" w:rsidRDefault="00000000" w:rsidRPr="00000000" w14:paraId="0000009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95" w:right="225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Convulsões 12 Não amplamente disponível</w:t>
            </w:r>
          </w:p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274" w:right="112" w:hanging="1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Efeitos colaterais (por exemplo, sonolência, confusão)</w:t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4"/>
                <w:szCs w:val="1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1" w:line="254" w:lineRule="auto"/>
              <w:ind w:left="0" w:right="43" w:firstLine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Efeitos colaterais (por exemplo, hipotensão, confusão, aumento do tônus muscular, espasmos)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superscript"/>
                <w:rtl w:val="0"/>
              </w:rPr>
              <w:t xml:space="preserve"> 13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274" w:right="343" w:hanging="1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 emulsão lipídica pode causar dor e desconforto na injeção</w:t>
            </w:r>
          </w:p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274" w:right="203" w:hanging="1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Bomba de infusão necessária; efeitos colaterais (por exemplo, tremores, movimentos mioclônicos, postura distônica)</w:t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54" w:lineRule="auto"/>
              <w:ind w:left="274" w:right="188" w:hanging="18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31f2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Efeito supressor cumulativo dependente da dose na função adrenal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0" w:line="240" w:lineRule="auto"/>
        <w:ind w:left="1976" w:right="1976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1080" w:top="960" w:left="1040" w:right="1040" w:header="0" w:footer="882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Tabela 2. Drogas para o teste Wada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" w:line="240" w:lineRule="auto"/>
        <w:ind w:left="1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Limitações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9" w:line="254" w:lineRule="auto"/>
        <w:ind w:left="112" w:right="109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Existem várias limitações do teste WADA. Primeiro, examina apenas a lateralização sem localização funcional dentro de cada hemisfério. Em segundo lugar, o hipocampo é perfundido por ramos das artérias cerebrais média e posterior, e a vascularização variável pode afetar a distribuição de agentes anestésicos. Terceiro, a droga administrada através da artéria carótida interna c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inativação generalizada do córtex pode levar à afasia, que interfer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nos testes de memória. Portanto, um teste Wada superseletivo foi desenvolvido, visando um ramo arterial que 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supre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uma região funcional e anatômica específica no cérebro. Por exemplo, a injeção da artéria cerebral posterior inativa a porção posterior do hipocampo e as estruturas do lobo temporal mesial adjacentes, com efeitos mínimos sobre a linguagem.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superscript"/>
          <w:rtl w:val="0"/>
        </w:rPr>
        <w:t xml:space="preserve">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2" w:lineRule="auto"/>
        <w:ind w:left="1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GESTÃO ANESTÉSICA DOS TESTES DA WADA E FUNÇÃO ATUAL DOS TESTES DA WADA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7" w:line="254" w:lineRule="auto"/>
        <w:ind w:left="112" w:right="11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O manejo anestésico dos testes WADA está resumido na Tabela 3. A natureza invasiva do teste Wada impede seu uso rotineiro na avaliação de candidatos cirúrgicos à epilepsia, especialmente quando os resultados de outros testes não invasivos são considerados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bookmarkStart w:colFirst="0" w:colLast="0" w:name="bookmark=id.30j0zll" w:id="1"/>
    <w:bookmarkEnd w:id="1"/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913"/>
        </w:tabs>
        <w:spacing w:after="0" w:before="73" w:line="240" w:lineRule="auto"/>
        <w:ind w:left="1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Stage</w:t>
        <w:tab/>
        <w:t xml:space="preserve">Steps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0</wp:posOffset>
                </wp:positionV>
                <wp:extent cx="6318885" cy="600646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191320" y="781530"/>
                          <a:ext cx="6309360" cy="5996940"/>
                        </a:xfrm>
                        <a:custGeom>
                          <a:rect b="b" l="l" r="r" t="t"/>
                          <a:pathLst>
                            <a:path extrusionOk="0" h="5996940" w="6309360">
                              <a:moveTo>
                                <a:pt x="6309360" y="5984240"/>
                              </a:moveTo>
                              <a:lnTo>
                                <a:pt x="0" y="5984240"/>
                              </a:lnTo>
                              <a:lnTo>
                                <a:pt x="0" y="5996940"/>
                              </a:lnTo>
                              <a:lnTo>
                                <a:pt x="6309360" y="5996940"/>
                              </a:lnTo>
                              <a:lnTo>
                                <a:pt x="6309360" y="5984240"/>
                              </a:lnTo>
                              <a:close/>
                              <a:moveTo>
                                <a:pt x="6309360" y="0"/>
                              </a:moveTo>
                              <a:lnTo>
                                <a:pt x="0" y="0"/>
                              </a:lnTo>
                              <a:lnTo>
                                <a:pt x="0" y="12065"/>
                              </a:lnTo>
                              <a:lnTo>
                                <a:pt x="0" y="5984240"/>
                              </a:lnTo>
                              <a:lnTo>
                                <a:pt x="12699" y="5984240"/>
                              </a:lnTo>
                              <a:lnTo>
                                <a:pt x="12699" y="214630"/>
                              </a:lnTo>
                              <a:lnTo>
                                <a:pt x="782955" y="214630"/>
                              </a:lnTo>
                              <a:lnTo>
                                <a:pt x="1400175" y="214630"/>
                              </a:lnTo>
                              <a:lnTo>
                                <a:pt x="6296660" y="214630"/>
                              </a:lnTo>
                              <a:lnTo>
                                <a:pt x="6296660" y="5984240"/>
                              </a:lnTo>
                              <a:lnTo>
                                <a:pt x="6309360" y="5984240"/>
                              </a:lnTo>
                              <a:lnTo>
                                <a:pt x="6309360" y="12065"/>
                              </a:lnTo>
                              <a:lnTo>
                                <a:pt x="6309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C04D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column">
                  <wp:posOffset>177800</wp:posOffset>
                </wp:positionH>
                <wp:positionV relativeFrom="paragraph">
                  <wp:posOffset>0</wp:posOffset>
                </wp:positionV>
                <wp:extent cx="6318885" cy="6006465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18885" cy="6006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17"/>
        </w:tabs>
        <w:spacing w:after="0" w:before="113" w:line="240" w:lineRule="auto"/>
        <w:ind w:left="1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Avaliação </w:t>
        <w:tab/>
        <w:t xml:space="preserve">Pré-operatório do paciente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54" w:lineRule="auto"/>
        <w:ind w:left="2496" w:right="192" w:hanging="18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A avaliação pré-anestésica requer uma história completa da condição médica e do estado físico do paciente, seguida de uma avaliação completa de sua capacidade de cooperar durante todo o teste e a presença de quaisquer características que sugiram apneia obstrutiva do sono e vias aéreas difíceis. A história de insuficiência renal, bem como alergia ao iodo, marisco ou contraste deve ser verificada. Outras informações pertinentes incluem o estado de epilepsia do paciente, o tipo e a frequência das convulsões, o uso de medicamentos antiepilépticos e seus efeitos colaterais relacionados. Além disso, a presença de qualquer comorbidade psiquiátrica é importante, pois é frequentemente encontrada em pacientes com epilepsia,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superscript"/>
          <w:rtl w:val="0"/>
        </w:rPr>
        <w:t xml:space="preserve"> 17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 e os sintomas psiquiátricos podem ser agravados durante o período perioperatório.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5" w:lineRule="auto"/>
        <w:ind w:left="2317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Preparação do paciente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54" w:lineRule="auto"/>
        <w:ind w:left="2496" w:right="196" w:hanging="18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O procedimento deve ser explicado ao paciente com antecedência para facilitar a preparação do paciente e minimizar sua ansiedade. Os problemas de segurança e os efeitos neurológicos transitórios causados pela droga anestésica devem ser explicados. Recomendações habituais de jejum devem ser observadas.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4" w:lineRule="auto"/>
        <w:ind w:left="2496" w:right="347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Os pacientes devem continuar seus medicamentos antiepilépticos habituais, e a pré-medicação sedativa</w:t>
      </w:r>
      <w:r w:rsidDel="00000000" w:rsidR="00000000" w:rsidRPr="00000000">
        <w:rPr>
          <w:color w:val="231f20"/>
          <w:sz w:val="16"/>
          <w:szCs w:val="16"/>
          <w:rtl w:val="0"/>
        </w:rPr>
        <w:t xml:space="preserve"> deve ser evitada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17"/>
        </w:tabs>
        <w:spacing w:after="0" w:before="0" w:line="254" w:lineRule="auto"/>
        <w:ind w:left="2496" w:right="277" w:hanging="2306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Os anestesiologistas intraoperatórios</w:t>
        <w:tab/>
        <w:t xml:space="preserve">desempenham um papel essencial no monitoramento e na garantia da segurança do paciente, facilitando o teste. Durante o teste, o paciente é posicionado em decúbito dorsal com acesso venoso periférico assegurado. A monitorização padrão, que consiste em frequência cardíaca, pressão arterial, frequência respiratória, eletrocardiograma, oximetria de pulso e capnografia,</w:t>
      </w:r>
      <w:r w:rsidDel="00000000" w:rsidR="00000000" w:rsidRPr="00000000">
        <w:rPr>
          <w:color w:val="231f20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deve estar disponível. A sonda de oximetria de pulso pode ser colocada no membro inferior e as medições da pressão arterial podem ser temporariamente </w:t>
      </w:r>
      <w:r w:rsidDel="00000000" w:rsidR="00000000" w:rsidRPr="00000000">
        <w:rPr>
          <w:color w:val="231f20"/>
          <w:sz w:val="16"/>
          <w:szCs w:val="16"/>
          <w:rtl w:val="0"/>
        </w:rPr>
        <w:t xml:space="preserve">pausada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s durante o teste para minimizar a interferência e a distração das tarefas.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4" w:lineRule="auto"/>
        <w:ind w:left="2496" w:right="259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O controle de temperatura é essencial, pois o teste pode ser longo e as s</w:t>
      </w:r>
      <w:r w:rsidDel="00000000" w:rsidR="00000000" w:rsidRPr="00000000">
        <w:rPr>
          <w:color w:val="231f20"/>
          <w:sz w:val="16"/>
          <w:szCs w:val="16"/>
          <w:rtl w:val="0"/>
        </w:rPr>
        <w:t xml:space="preserve">alas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 de angiografia são tipicamente frias. Um dispositivo de aquecimento da parte inferior do corpo pode ser útil para evitar </w:t>
      </w:r>
      <w:r w:rsidDel="00000000" w:rsidR="00000000" w:rsidRPr="00000000">
        <w:rPr>
          <w:color w:val="231f20"/>
          <w:sz w:val="16"/>
          <w:szCs w:val="16"/>
          <w:rtl w:val="0"/>
        </w:rPr>
        <w:t xml:space="preserve">hipotermia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. Além disso, um cateter urinário pode ser considerado se for esperado maior tempo de procedimento, levando em consideração o maior vo</w:t>
      </w:r>
      <w:r w:rsidDel="00000000" w:rsidR="00000000" w:rsidRPr="00000000">
        <w:rPr>
          <w:color w:val="231f20"/>
          <w:sz w:val="16"/>
          <w:szCs w:val="16"/>
          <w:rtl w:val="0"/>
        </w:rPr>
        <w:t xml:space="preserve">lume urinário devido 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o efeito diurético do contraste.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4" w:lineRule="auto"/>
        <w:ind w:left="2496" w:right="228" w:hanging="18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O volume interno do cateter intra-arterial e as linhas de extensão devem ser cuidadosamente anotados para que uma dose preci</w:t>
      </w:r>
      <w:r w:rsidDel="00000000" w:rsidR="00000000" w:rsidRPr="00000000">
        <w:rPr>
          <w:color w:val="231f20"/>
          <w:sz w:val="16"/>
          <w:szCs w:val="16"/>
          <w:rtl w:val="0"/>
        </w:rPr>
        <w:t xml:space="preserve">sa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 possa ser </w:t>
      </w:r>
      <w:r w:rsidDel="00000000" w:rsidR="00000000" w:rsidRPr="00000000">
        <w:rPr>
          <w:color w:val="231f20"/>
          <w:sz w:val="16"/>
          <w:szCs w:val="16"/>
          <w:rtl w:val="0"/>
        </w:rPr>
        <w:t xml:space="preserve">administrada a fim de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 obter anestesia unilateral sem </w:t>
      </w:r>
      <w:r w:rsidDel="00000000" w:rsidR="00000000" w:rsidRPr="00000000">
        <w:rPr>
          <w:color w:val="231f20"/>
          <w:sz w:val="16"/>
          <w:szCs w:val="16"/>
          <w:rtl w:val="0"/>
        </w:rPr>
        <w:t xml:space="preserve">efeito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 global. Os bolus de drogas devem ser administrados lentamente. </w:t>
      </w:r>
      <w:r w:rsidDel="00000000" w:rsidR="00000000" w:rsidRPr="00000000">
        <w:rPr>
          <w:color w:val="231f20"/>
          <w:sz w:val="16"/>
          <w:szCs w:val="16"/>
          <w:rtl w:val="0"/>
        </w:rPr>
        <w:t xml:space="preserve">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nfus</w:t>
      </w:r>
      <w:r w:rsidDel="00000000" w:rsidR="00000000" w:rsidRPr="00000000">
        <w:rPr>
          <w:color w:val="231f20"/>
          <w:sz w:val="16"/>
          <w:szCs w:val="16"/>
          <w:rtl w:val="0"/>
        </w:rPr>
        <w:t xml:space="preserve">ões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 adicionais podem ser </w:t>
      </w:r>
      <w:r w:rsidDel="00000000" w:rsidR="00000000" w:rsidRPr="00000000">
        <w:rPr>
          <w:color w:val="231f20"/>
          <w:sz w:val="16"/>
          <w:szCs w:val="16"/>
          <w:rtl w:val="0"/>
        </w:rPr>
        <w:t xml:space="preserve">necessárias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 para manter o efeito anestésico </w:t>
      </w:r>
      <w:r w:rsidDel="00000000" w:rsidR="00000000" w:rsidRPr="00000000">
        <w:rPr>
          <w:color w:val="231f20"/>
          <w:sz w:val="16"/>
          <w:szCs w:val="16"/>
          <w:rtl w:val="0"/>
        </w:rPr>
        <w:t xml:space="preserve">durante o teste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color w:val="231f20"/>
          <w:sz w:val="16"/>
          <w:szCs w:val="16"/>
          <w:rtl w:val="0"/>
        </w:rPr>
        <w:t xml:space="preserve"> 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coordenação dentro da equipe multidisciplinar é muito importante. O cateter não deve ser lavado durante a administração anestésica ou no final do teste para evitar a administração inadvertida de excesso de anestésico. Qualquer agente anestésico dentro do espaço morto do cateter deve ser aspirado antes da lavagem do cateter ou de outras imagens.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4" w:lineRule="auto"/>
        <w:ind w:left="2496" w:right="303" w:hanging="18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O uso de heparina para profilaxia tromboembólica varia de acordo com as práticas institucionais. Os efeitos anti-trombina da heparina podem ser monitorados medindo o tempo de coagulação ativado e podem ser revertidos com protamina.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4" w:lineRule="auto"/>
        <w:ind w:left="2496" w:right="546" w:hanging="18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O doente deve ser cuidadosamente monitorizado quanto à ocorrência de convulsões e instabilidade hemodinâmica. Tremores transitórios e contrações musculares durante o teste são comuns. Instabilidade emocional e distúrbios comportamentais ocorrem com pouca frequência.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superscript"/>
          <w:rtl w:val="0"/>
        </w:rPr>
        <w:t xml:space="preserve">9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317"/>
        </w:tabs>
        <w:spacing w:after="0" w:before="0" w:line="207" w:lineRule="auto"/>
        <w:ind w:left="191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Pós-operatório</w:t>
        <w:tab/>
        <w:t xml:space="preserve">Deve estar disponível um centro de cuidados pós-anestésicos para monitorização hemodinâmica e neurológica.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" w:line="240" w:lineRule="auto"/>
        <w:ind w:left="1976" w:right="1976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" w:line="240" w:lineRule="auto"/>
        <w:ind w:left="1976" w:right="1976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1080" w:top="960" w:left="1040" w:right="1040" w:header="0" w:footer="882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Tabela 3. Manejo Periprocedimento de Pacientes Submetidos ao Teste Wada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3" w:line="261" w:lineRule="auto"/>
        <w:ind w:left="111" w:right="109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adequado para as decisões de tratamento. A ressonância magnética funcional (RMF), 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uma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alternativa não invasiva, é cada vez mais usada para avaliar a linguagem cerebral e o domínio da memória. Tem alta concordância com o teste Wada em indivíduos com lateralização esquerda clara e é capaz de substituir o teste Wada na determinação da dominância da linguagem. No entanto, é menos sensível para representação de linguagem bilateral ou atípica.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superscript"/>
          <w:rtl w:val="0"/>
        </w:rPr>
        <w:t xml:space="preserve">18–20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Também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houver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am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tentativas de medir a lateralização da memória específica do material usando vários paradigmas de fMRI, mas a concordância entre a fMRI e o teste Wada tem sido menos consistente.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superscript"/>
          <w:rtl w:val="0"/>
        </w:rPr>
        <w:t xml:space="preserve">21,22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" w:line="261" w:lineRule="auto"/>
        <w:ind w:left="112" w:right="109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Até o momento, um protocolo de fMRI altamente específico e clinicamente aplicável, que pode prever de forma confiável os resultados pós-cirúrgicos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ainda não foi estabelecido. Portanto, alguns centros ainda optam por realizar o teste Wada em grupos selecionados de pacientes que estão em risco de amnésia global pós-operatória ou quando seus resultados de imagem na lateralização da linguagem e da memória são inconclusivos ou atípicos. Deve-se notar que os testes de fMRI e Wada são fundamentalmente diferentes: o primeiro é um estudo de ativação, enquanto o último é um método supressivo que testa a capacidade de um hemisfério de sustentar uma função sem influência d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outro.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TESTE WADA EM PACIENTES PEDIÁTRICOS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" w:line="261" w:lineRule="auto"/>
        <w:ind w:left="111" w:right="109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Realizar o teste Wada com crianças apresenta um desafio especial, pois requer um longo período de concentração e cooperação. Além disso, muitos desses pacientes são cognitivamente prejudicados. 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procedimento 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pode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ser particularmente estressante e 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causar agitação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, especialmente durante a canulação arterial femoral, aumentando o risco de lesão da artéria femoral. Sedação pode ser necessária, e o uso de propofol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superscript"/>
          <w:rtl w:val="0"/>
        </w:rPr>
        <w:t xml:space="preserve">23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 e dexmedetomidina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superscript"/>
          <w:rtl w:val="0"/>
        </w:rPr>
        <w:t xml:space="preserve">24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para angiografia foi relatado. A capacidade da criança de cooperar 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com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o teste deve ser cuidadosamente avaliada, pois 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além de não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fornecer informações sobre memória e linguagem,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 poderá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sujeitar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a criança aos danos potenciais da angiografia, conforme descrito acima.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CONCLUSÃO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2" w:line="261" w:lineRule="auto"/>
        <w:ind w:left="112" w:right="11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O planejamento pré-cirúrgico 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de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pacientes com epilepsia do lobo temporal requer a estreita colaboração de várias especialidades. Apesar do recente esforço para substituí-lo por técnicas não invasivas, o teste Wada continua sendo um instrumento útil em candidatos selecionados para avaliar a dominância cerebral e prever o declínio cognitivo pós-operatório. Compreender os princípios do teste Wada é essencial para que os anestesiologistas facilitem o procedimento e se preparem para quaisquer desafios perioperatórios e riscos neurocognitivos que o paciente possa 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apresentar.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2" w:line="240" w:lineRule="auto"/>
        <w:ind w:left="112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REFERÊNCIAS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1"/>
        </w:tabs>
        <w:spacing w:after="0" w:before="132" w:line="259" w:lineRule="auto"/>
        <w:ind w:left="440" w:right="109" w:hanging="240"/>
        <w:jc w:val="left"/>
        <w:rPr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Kwan P, Sander JW. The natural history of epilepsy: an epidemiological view. J Neurol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Neurosurg Psychiatry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. 2004;75(10):1376-1381.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1"/>
        </w:tabs>
        <w:spacing w:after="0" w:before="3" w:line="240" w:lineRule="auto"/>
        <w:ind w:left="440" w:right="0" w:hanging="240"/>
        <w:jc w:val="left"/>
        <w:rPr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Baumgartner C, Koren JP, Britto-Arias M, Zoche L, Pirker S. Presurgical epilepsy evaluation and epilepsy surgery.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before="19" w:lineRule="auto"/>
        <w:ind w:left="440" w:firstLine="0"/>
        <w:rPr>
          <w:sz w:val="18"/>
          <w:szCs w:val="18"/>
        </w:rPr>
      </w:pPr>
      <w:r w:rsidDel="00000000" w:rsidR="00000000" w:rsidRPr="00000000">
        <w:rPr>
          <w:i w:val="1"/>
          <w:color w:val="231f20"/>
          <w:sz w:val="18"/>
          <w:szCs w:val="18"/>
          <w:rtl w:val="0"/>
        </w:rPr>
        <w:t xml:space="preserve">F1000Res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. 2019;8:F1000 Faculty Rev-818.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1"/>
        </w:tabs>
        <w:spacing w:after="0" w:before="21" w:line="259" w:lineRule="auto"/>
        <w:ind w:left="440" w:right="110" w:hanging="240"/>
        <w:jc w:val="left"/>
        <w:rPr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Conradi N, Rosenberg F, Knake S, et al. Wada test results contribute to the prediction of change in verbal learning and verbal memory function after temporal lobe epilepsy surgery.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Sci Rep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. 2021;11(1):10979.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1"/>
        </w:tabs>
        <w:spacing w:after="0" w:before="3" w:line="240" w:lineRule="auto"/>
        <w:ind w:left="440" w:right="0" w:hanging="240"/>
        <w:jc w:val="left"/>
        <w:rPr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Hamberger MJ, Cole J. Language organization and reorganization in epilepsy.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Neuropsychol Rev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. 2011;21(3):240-251.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1"/>
        </w:tabs>
        <w:spacing w:after="0" w:before="22" w:line="259" w:lineRule="auto"/>
        <w:ind w:left="440" w:right="110" w:hanging="240"/>
        <w:jc w:val="left"/>
        <w:rPr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Stewart CC, Swanson SJ, Sabsevitz DS, Rozman ME, Janecek JK, Binder JR. Predictors of language lateralization in temporal lobe epilepsy.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Neuropsychologia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. 2014;60:93-102.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1"/>
        </w:tabs>
        <w:spacing w:after="0" w:before="4" w:line="240" w:lineRule="auto"/>
        <w:ind w:left="440" w:right="0" w:hanging="240"/>
        <w:jc w:val="left"/>
        <w:rPr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Chelune GJ. Hippocampal adequacy versus functional reserve: predicting memory functions following temporal lobectomy.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before="19" w:lineRule="auto"/>
        <w:ind w:left="440" w:firstLine="0"/>
        <w:rPr>
          <w:sz w:val="18"/>
          <w:szCs w:val="18"/>
        </w:rPr>
      </w:pPr>
      <w:r w:rsidDel="00000000" w:rsidR="00000000" w:rsidRPr="00000000">
        <w:rPr>
          <w:i w:val="1"/>
          <w:color w:val="231f20"/>
          <w:sz w:val="18"/>
          <w:szCs w:val="18"/>
          <w:rtl w:val="0"/>
        </w:rPr>
        <w:t xml:space="preserve">Arch Clin Neuropsychol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. 1995;10(5):413-432.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1"/>
        </w:tabs>
        <w:spacing w:after="0" w:before="22" w:line="259" w:lineRule="auto"/>
        <w:ind w:left="440" w:right="110" w:hanging="240"/>
        <w:jc w:val="left"/>
        <w:rPr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Patel A, Wordell C, Szarlej D. Alternatives to sodium amobarbital in the Wada test.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Ann Pharmacother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. 2011;45(3):395- 401.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1"/>
        </w:tabs>
        <w:spacing w:after="0" w:before="3" w:line="259" w:lineRule="auto"/>
        <w:ind w:left="440" w:right="109" w:hanging="240"/>
        <w:jc w:val="left"/>
        <w:rPr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Joshi S, Wang M, Etu J, Nishanian EV. Comparison of intracarotid anesthetics for EEG silence.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J Neurosurg Anesthesiol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. 2006;18(2):112-118.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1"/>
        </w:tabs>
        <w:spacing w:after="0" w:before="3" w:line="259" w:lineRule="auto"/>
        <w:ind w:left="440" w:right="110" w:hanging="240"/>
        <w:jc w:val="left"/>
        <w:rPr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Mariappan R, Manninen P, McAndrews MP, et al. Intracarotid etomidate is a safe alternative to sodium amobarbital for the Wada test.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J Neurosurg Anesthesiol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. 2013;25(4):408-413.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0"/>
        </w:tabs>
        <w:spacing w:after="0" w:before="3" w:line="240" w:lineRule="auto"/>
        <w:ind w:left="449" w:right="0" w:hanging="339"/>
        <w:jc w:val="left"/>
        <w:rPr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Chui J, Venkatraghavan L, Manninen P. Presurgical evaluation of patients with epilepsy: the role of the anesthesiologist.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before="18" w:lineRule="auto"/>
        <w:ind w:left="449" w:firstLine="0"/>
        <w:rPr>
          <w:sz w:val="18"/>
          <w:szCs w:val="18"/>
        </w:rPr>
      </w:pPr>
      <w:r w:rsidDel="00000000" w:rsidR="00000000" w:rsidRPr="00000000">
        <w:rPr>
          <w:i w:val="1"/>
          <w:color w:val="231f20"/>
          <w:sz w:val="18"/>
          <w:szCs w:val="18"/>
          <w:rtl w:val="0"/>
        </w:rPr>
        <w:t xml:space="preserve">Anesth Analg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. 2013;116(4):881-888.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0"/>
        </w:tabs>
        <w:spacing w:after="0" w:before="23" w:line="259" w:lineRule="auto"/>
        <w:ind w:left="449" w:right="110" w:hanging="338"/>
        <w:jc w:val="left"/>
        <w:rPr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Selwa LM, Buchtel HA, Henry TR. Electrocerebral recovery during the intracarotid amobarbital procedure: inﬂuence of interval between injections.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Epilepsia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. 1997;38(12):1294-1299.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0"/>
        </w:tabs>
        <w:spacing w:after="0" w:before="5" w:line="256" w:lineRule="auto"/>
        <w:ind w:left="449" w:right="110" w:hanging="338"/>
        <w:jc w:val="left"/>
        <w:rPr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Loddenkemper  T,  Mo¨ddel  G,  Schuele  SU,  Wyllie  E,  Morris  HH  III.  Seizures  during  intracarotid  methohexital  and amobarbital testing.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Epilepsy Behav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. 2007;10(1):49-54.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0"/>
        </w:tabs>
        <w:spacing w:after="0" w:before="6" w:line="240" w:lineRule="auto"/>
        <w:ind w:left="449" w:right="0" w:hanging="339"/>
        <w:jc w:val="left"/>
        <w:rPr>
          <w:smallCaps w:val="0"/>
          <w:strike w:val="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Mikuni N, Takayama M, Satow T, et al. Evaluation of adverse effects in intracarotid propofol injection for Wada test.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before="18" w:lineRule="auto"/>
        <w:ind w:left="449" w:firstLine="0"/>
        <w:rPr>
          <w:sz w:val="18"/>
          <w:szCs w:val="18"/>
        </w:rPr>
      </w:pPr>
      <w:r w:rsidDel="00000000" w:rsidR="00000000" w:rsidRPr="00000000">
        <w:rPr>
          <w:i w:val="1"/>
          <w:color w:val="231f20"/>
          <w:sz w:val="18"/>
          <w:szCs w:val="18"/>
          <w:rtl w:val="0"/>
        </w:rPr>
        <w:t xml:space="preserve">Neurology</w:t>
      </w:r>
      <w:r w:rsidDel="00000000" w:rsidR="00000000" w:rsidRPr="00000000">
        <w:rPr>
          <w:color w:val="231f20"/>
          <w:sz w:val="18"/>
          <w:szCs w:val="18"/>
          <w:rtl w:val="0"/>
        </w:rPr>
        <w:t xml:space="preserve">. 2005;65(11):1813-1816.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0"/>
        </w:tabs>
        <w:spacing w:after="0" w:before="23" w:line="240" w:lineRule="auto"/>
        <w:ind w:left="449" w:right="0" w:hanging="339"/>
        <w:jc w:val="left"/>
        <w:rPr>
          <w:smallCaps w:val="0"/>
          <w:strike w:val="0"/>
          <w:u w:val="none"/>
          <w:shd w:fill="auto" w:val="clear"/>
          <w:vertAlign w:val="baseline"/>
        </w:rPr>
        <w:sectPr>
          <w:type w:val="nextPage"/>
          <w:pgSz w:h="15840" w:w="12240" w:orient="portrait"/>
          <w:pgMar w:bottom="1080" w:top="960" w:left="1040" w:right="1040" w:header="0" w:footer="882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Loddenkemper T, Morris HH, Mo¨ddel G. Complications during the Wada test.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Epilepsy Behav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. 2008;13(3):551-553.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0"/>
        </w:tabs>
        <w:spacing w:after="0" w:before="53" w:line="254" w:lineRule="auto"/>
        <w:ind w:left="449" w:right="109" w:hanging="338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Beimer NJ, Buchtel HA, Glynn SM. A experiência de um centro com complicações durante o teste Wada.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Epilepsia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. 2015;56(8):e110-e113.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0"/>
        </w:tabs>
        <w:spacing w:after="0" w:before="0" w:line="254" w:lineRule="auto"/>
        <w:ind w:left="449" w:right="110" w:hanging="338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Catapano JS, Whiting AC, Wang DJ, et al. Teste amobarbital da artéria cerebral posterior seletiva: um preditor de memória após amígdalo-hipocampectomia seletiva subtemporal.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J Neurointervent Surg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. 2020;12(2):165.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0"/>
        </w:tabs>
        <w:spacing w:after="0" w:before="0" w:line="254" w:lineRule="auto"/>
        <w:ind w:left="449" w:right="110" w:hanging="338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Tellez-Zenteno  JF,  Patten  SB,  Jette´N,  Williams  J,  Wiebe  S.  Comorbidade psiquiátrica na  epilepsia:  uma análise de base populacional.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Epilepsia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. 2007;48(12):2336-2344.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0"/>
        </w:tabs>
        <w:spacing w:after="0" w:before="0" w:line="254" w:lineRule="auto"/>
        <w:ind w:left="449" w:right="110" w:hanging="338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McDonald BC, Saykin AJ, Williams JM, Assaf BA. fMRI Wada test: prospects for presurgical mapping of language and memory. In: Faro SH, Mohamed FB, eds.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Ressonância Magnética Funcional: Princípios Básicos e Aplicações Clínicas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. New York, NY: Springer New York; 2006;278-314.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0"/>
        </w:tabs>
        <w:spacing w:after="0" w:before="0" w:line="254" w:lineRule="auto"/>
        <w:ind w:left="449" w:right="109" w:hanging="338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Bauer PR, Reitsma JB, Houweling BM, Ferrier CH, Ramsey NF. A RMF pode substituir com segurança o teste WADA para avaliação pré-operatória da lateralização da linguagem? Uma meta-análise e revisão sistemática.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J Neurol Neurosurg Psychiatry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. 2014;85(5):581.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0"/>
        </w:tabs>
        <w:spacing w:after="0" w:before="0" w:line="254" w:lineRule="auto"/>
        <w:ind w:left="449" w:right="110" w:hanging="338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Massot-Tarru's  A,  Mousavi  SR,  Mirsattari  SM. Comparando  o  teste  amobarbital intracarotídeo e a ressonância magnética funcional para  a avaliação pré-cirúrgica da linguagem na epilepsia.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Curr Neurol Neurosci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 Rep.2017;17(7):54.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0"/>
        </w:tabs>
        <w:spacing w:after="0" w:before="0" w:line="254" w:lineRule="auto"/>
        <w:ind w:left="449" w:right="110" w:hanging="338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Szaflarski JP, Gloss D, Binder JR, et al. Resumo da diretriz prática: Uso de  fMRI na avaliação pré-cirúrgica de pacientes com epilepsia.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Neurology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. 2017;88(4):395.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0"/>
        </w:tabs>
        <w:spacing w:after="0" w:before="0" w:line="254" w:lineRule="auto"/>
        <w:ind w:left="449" w:right="110" w:hanging="338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Massot-Tarru´s A, White K, Mirsattari SM. Comparando o teste Wada e a ressonância magnética funcional para a avaliação pré-cirúrgica da memória na epilepsia do lobo temporal.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Curr Neurol Neurosci Rep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. 2019;19(6):31.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0"/>
        </w:tabs>
        <w:spacing w:after="0" w:before="0" w:line="254" w:lineRule="auto"/>
        <w:ind w:left="449" w:right="109" w:hanging="338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Masters LT, Perrine K, Devinsky O, Nelson PK. Teste Wada em pacientes pediátricos por uso de propofol anestesia.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Am J Neuroradiol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. 2000;21(7):1302.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50"/>
        </w:tabs>
        <w:spacing w:after="0" w:before="0" w:line="240" w:lineRule="auto"/>
        <w:ind w:left="449" w:right="0" w:hanging="338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Bharadwaj S, Venkatraghavan L. Sedação de dexmedetomidina para teste WADA com propofol intracarotídeo em pacientes pediátricos.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" w:line="240" w:lineRule="auto"/>
        <w:ind w:left="449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J Neurosurg Anesthesiol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. 2015;27(4):352-353.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259" w:lineRule="auto"/>
        <w:ind w:left="1267" w:right="504" w:firstLine="2.9999999999999716"/>
        <w:rPr>
          <w:sz w:val="16"/>
          <w:szCs w:val="16"/>
        </w:rPr>
      </w:pPr>
      <w:r w:rsidDel="00000000" w:rsidR="00000000" w:rsidRPr="00000000">
        <w:rPr>
          <w:color w:val="231f20"/>
          <w:sz w:val="16"/>
          <w:szCs w:val="16"/>
          <w:rtl w:val="0"/>
        </w:rPr>
        <w:t xml:space="preserve">Este trabalho está licenciado sob a Licença Internacional Creative Commons Atribuição 4.0. Para visualizar esta licença, visite https://creativecommons.org/licenses/by-nc-nd/4.0/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71119</wp:posOffset>
            </wp:positionH>
            <wp:positionV relativeFrom="paragraph">
              <wp:posOffset>-6135</wp:posOffset>
            </wp:positionV>
            <wp:extent cx="648792" cy="227075"/>
            <wp:effectExtent b="0" l="0" r="0" t="0"/>
            <wp:wrapNone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792" cy="227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5" w:line="240" w:lineRule="auto"/>
        <w:ind w:left="111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Isenção de responsabilidade da WFSA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" w:line="259" w:lineRule="auto"/>
        <w:ind w:left="111" w:right="109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31f20"/>
          <w:sz w:val="16"/>
          <w:szCs w:val="16"/>
          <w:u w:val="none"/>
          <w:shd w:fill="auto" w:val="clear"/>
          <w:vertAlign w:val="baseline"/>
          <w:rtl w:val="0"/>
        </w:rPr>
        <w:t xml:space="preserve">O material e o conteúdo fornecidos foram estabelecidos de boa fé apenas para fins informativos e educacionais e não se destinam a substituir o envolvimento ativo e o julgamento do pessoal médico e técnico profissional apropriado. Nem nós, nem os autores, nem outras partes envolvidas em sua produção fazemos quaisquer representações ou damos quaisquer garantias com relação à sua precisão, aplicabilidade ou integridade, nem qualquer responsabilidade é aceita por quaisquer efeitos adversos decorrentes de sua leitura ou visualização deste material e conteúdo. Toda e qualquer responsabilidade direta ou indiretamente decorrente do uso deste material e conteúdo é renunciada sem reservas.</w:t>
      </w:r>
    </w:p>
    <w:sectPr>
      <w:type w:val="nextPage"/>
      <w:pgSz w:h="15840" w:w="12240" w:orient="portrait"/>
      <w:pgMar w:bottom="1080" w:top="960" w:left="1040" w:right="1040" w:header="0" w:footer="882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PMingLiU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5740400</wp:posOffset>
              </wp:positionH>
              <wp:positionV relativeFrom="paragraph">
                <wp:posOffset>254000</wp:posOffset>
              </wp:positionV>
              <wp:extent cx="730885" cy="147955"/>
              <wp:effectExtent b="0" l="0" r="0" t="0"/>
              <wp:wrapNone/>
              <wp:docPr id="13" name=""/>
              <a:graphic>
                <a:graphicData uri="http://schemas.microsoft.com/office/word/2010/wordprocessingShape">
                  <wps:wsp>
                    <wps:cNvSpPr/>
                    <wps:cNvPr id="18" name="Shape 18"/>
                    <wps:spPr>
                      <a:xfrm>
                        <a:off x="4985320" y="3710785"/>
                        <a:ext cx="721360" cy="138430"/>
                      </a:xfrm>
                      <a:custGeom>
                        <a:rect b="b" l="l" r="r" t="t"/>
                        <a:pathLst>
                          <a:path extrusionOk="0" h="138430" w="721360">
                            <a:moveTo>
                              <a:pt x="0" y="0"/>
                            </a:moveTo>
                            <a:lnTo>
                              <a:pt x="0" y="138430"/>
                            </a:lnTo>
                            <a:lnTo>
                              <a:pt x="721360" y="138430"/>
                            </a:lnTo>
                            <a:lnTo>
                              <a:pt x="72136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1.0000000149011612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  <w:t xml:space="preserve">Página  PAGE 15 de 8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5740400</wp:posOffset>
              </wp:positionH>
              <wp:positionV relativeFrom="paragraph">
                <wp:posOffset>254000</wp:posOffset>
              </wp:positionV>
              <wp:extent cx="730885" cy="147955"/>
              <wp:effectExtent b="0" l="0" r="0" t="0"/>
              <wp:wrapNone/>
              <wp:docPr id="13" name="image13.png"/>
              <a:graphic>
                <a:graphicData uri="http://schemas.openxmlformats.org/drawingml/2006/picture">
                  <pic:pic>
                    <pic:nvPicPr>
                      <pic:cNvPr id="0" name="image1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0885" cy="14795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152400</wp:posOffset>
              </wp:positionH>
              <wp:positionV relativeFrom="paragraph">
                <wp:posOffset>101600</wp:posOffset>
              </wp:positionV>
              <wp:extent cx="5698490" cy="295910"/>
              <wp:effectExtent b="0" l="0" r="0" t="0"/>
              <wp:wrapNone/>
              <wp:docPr id="8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2501518" y="3636808"/>
                        <a:ext cx="5688965" cy="286385"/>
                      </a:xfrm>
                      <a:custGeom>
                        <a:rect b="b" l="l" r="r" t="t"/>
                        <a:pathLst>
                          <a:path extrusionOk="0" h="286385" w="5688965">
                            <a:moveTo>
                              <a:pt x="0" y="0"/>
                            </a:moveTo>
                            <a:lnTo>
                              <a:pt x="0" y="286385"/>
                            </a:lnTo>
                            <a:lnTo>
                              <a:pt x="5688965" y="286385"/>
                            </a:lnTo>
                            <a:lnTo>
                              <a:pt x="568896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180"/>
                            <w:ind w:left="1038.0000305175781" w:right="0" w:firstLine="1038.0000305175781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231f20"/>
                              <w:sz w:val="22"/>
                              <w:vertAlign w:val="baseline"/>
                            </w:rPr>
                            <w:t xml:space="preserve">Assine os tutoriais da ATOTW visitando </w:t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ff"/>
                              <w:sz w:val="22"/>
                              <w:u w:val="single"/>
                              <w:vertAlign w:val="baseline"/>
                            </w:rPr>
                            <w:t xml:space="preserve">https://resources.wfsahq.org/anaesthesia-tutorial-of-the-week/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76.99999809265137" w:line="240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ff"/>
                              <w:sz w:val="22"/>
                              <w:u w:val="single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 xml:space="preserve">ATOTW 474 — Avaliação Pré-Cirúrgica de Pacientes com Epilepsia: O Teste Wada (14 de junho de 2022)</w:t>
                          </w:r>
                        </w:p>
                      </w:txbxContent>
                    </wps:txbx>
                    <wps:bodyPr anchorCtr="0" anchor="t" bIns="38100" lIns="88900" spcFirstLastPara="1" rIns="88900" wrap="square" tIns="381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152400</wp:posOffset>
              </wp:positionH>
              <wp:positionV relativeFrom="paragraph">
                <wp:posOffset>101600</wp:posOffset>
              </wp:positionV>
              <wp:extent cx="5698490" cy="295910"/>
              <wp:effectExtent b="0" l="0" r="0" t="0"/>
              <wp:wrapNone/>
              <wp:docPr id="8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98490" cy="2959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177800</wp:posOffset>
              </wp:positionH>
              <wp:positionV relativeFrom="paragraph">
                <wp:posOffset>0</wp:posOffset>
              </wp:positionV>
              <wp:extent cx="6350" cy="12700"/>
              <wp:effectExtent b="0" l="0" r="0" t="0"/>
              <wp:wrapNone/>
              <wp:docPr id="7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2191320" y="3776825"/>
                        <a:ext cx="630936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177800</wp:posOffset>
              </wp:positionH>
              <wp:positionV relativeFrom="paragraph">
                <wp:posOffset>0</wp:posOffset>
              </wp:positionV>
              <wp:extent cx="6350" cy="12700"/>
              <wp:effectExtent b="0" l="0" r="0" t="0"/>
              <wp:wrapNone/>
              <wp:docPr id="7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440" w:hanging="240"/>
      </w:pPr>
      <w:rPr>
        <w:rFonts w:ascii="Arial" w:cs="Arial" w:eastAsia="Arial" w:hAnsi="Arial"/>
        <w:b w:val="0"/>
        <w:i w:val="0"/>
        <w:color w:val="231f20"/>
        <w:sz w:val="18"/>
        <w:szCs w:val="18"/>
      </w:rPr>
    </w:lvl>
    <w:lvl w:ilvl="1">
      <w:start w:val="0"/>
      <w:numFmt w:val="bullet"/>
      <w:lvlText w:val="•"/>
      <w:lvlJc w:val="left"/>
      <w:pPr>
        <w:ind w:left="1412" w:hanging="240"/>
      </w:pPr>
      <w:rPr/>
    </w:lvl>
    <w:lvl w:ilvl="2">
      <w:start w:val="0"/>
      <w:numFmt w:val="bullet"/>
      <w:lvlText w:val="•"/>
      <w:lvlJc w:val="left"/>
      <w:pPr>
        <w:ind w:left="2384" w:hanging="240"/>
      </w:pPr>
      <w:rPr/>
    </w:lvl>
    <w:lvl w:ilvl="3">
      <w:start w:val="0"/>
      <w:numFmt w:val="bullet"/>
      <w:lvlText w:val="•"/>
      <w:lvlJc w:val="left"/>
      <w:pPr>
        <w:ind w:left="3356" w:hanging="240"/>
      </w:pPr>
      <w:rPr/>
    </w:lvl>
    <w:lvl w:ilvl="4">
      <w:start w:val="0"/>
      <w:numFmt w:val="bullet"/>
      <w:lvlText w:val="•"/>
      <w:lvlJc w:val="left"/>
      <w:pPr>
        <w:ind w:left="4328" w:hanging="240"/>
      </w:pPr>
      <w:rPr/>
    </w:lvl>
    <w:lvl w:ilvl="5">
      <w:start w:val="0"/>
      <w:numFmt w:val="bullet"/>
      <w:lvlText w:val="•"/>
      <w:lvlJc w:val="left"/>
      <w:pPr>
        <w:ind w:left="5300" w:hanging="240"/>
      </w:pPr>
      <w:rPr/>
    </w:lvl>
    <w:lvl w:ilvl="6">
      <w:start w:val="0"/>
      <w:numFmt w:val="bullet"/>
      <w:lvlText w:val="•"/>
      <w:lvlJc w:val="left"/>
      <w:pPr>
        <w:ind w:left="6272" w:hanging="240"/>
      </w:pPr>
      <w:rPr/>
    </w:lvl>
    <w:lvl w:ilvl="7">
      <w:start w:val="0"/>
      <w:numFmt w:val="bullet"/>
      <w:lvlText w:val="•"/>
      <w:lvlJc w:val="left"/>
      <w:pPr>
        <w:ind w:left="7244" w:hanging="240"/>
      </w:pPr>
      <w:rPr/>
    </w:lvl>
    <w:lvl w:ilvl="8">
      <w:start w:val="0"/>
      <w:numFmt w:val="bullet"/>
      <w:lvlText w:val="•"/>
      <w:lvlJc w:val="left"/>
      <w:pPr>
        <w:ind w:left="8216" w:hanging="24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12"/>
    </w:pPr>
    <w:rPr>
      <w:sz w:val="24"/>
      <w:szCs w:val="24"/>
    </w:rPr>
  </w:style>
  <w:style w:type="paragraph" w:styleId="Heading2">
    <w:name w:val="heading 2"/>
    <w:basedOn w:val="Normal"/>
    <w:next w:val="Normal"/>
    <w:pPr>
      <w:spacing w:before="1" w:lineRule="auto"/>
      <w:ind w:left="112"/>
    </w:pPr>
    <w:rPr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58" w:lineRule="auto"/>
      <w:ind w:left="112" w:right="3529"/>
    </w:pPr>
    <w:rPr>
      <w:sz w:val="40"/>
      <w:szCs w:val="4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ind w:left="112"/>
    </w:pPr>
    <w:rPr>
      <w:sz w:val="24"/>
      <w:szCs w:val="24"/>
    </w:rPr>
  </w:style>
  <w:style w:type="paragraph" w:styleId="Heading2">
    <w:name w:val="heading 2"/>
    <w:basedOn w:val="Normal"/>
    <w:next w:val="Normal"/>
    <w:pPr>
      <w:spacing w:before="1" w:lineRule="auto"/>
      <w:ind w:left="112"/>
    </w:pPr>
    <w:rPr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before="58" w:lineRule="auto"/>
      <w:ind w:left="112" w:right="3529"/>
    </w:pPr>
    <w:rPr>
      <w:sz w:val="40"/>
      <w:szCs w:val="4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11" Type="http://schemas.openxmlformats.org/officeDocument/2006/relationships/image" Target="media/image10.png"/><Relationship Id="rId10" Type="http://schemas.openxmlformats.org/officeDocument/2006/relationships/image" Target="media/image9.png"/><Relationship Id="rId21" Type="http://schemas.openxmlformats.org/officeDocument/2006/relationships/image" Target="media/image1.png"/><Relationship Id="rId13" Type="http://schemas.openxmlformats.org/officeDocument/2006/relationships/hyperlink" Target="https://www.wfsahq.org/cme" TargetMode="Externa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leungpwh93@gmail.com" TargetMode="External"/><Relationship Id="rId15" Type="http://schemas.openxmlformats.org/officeDocument/2006/relationships/image" Target="media/image14.png"/><Relationship Id="rId14" Type="http://schemas.openxmlformats.org/officeDocument/2006/relationships/hyperlink" Target="https://www.wfsahq.org/cme" TargetMode="External"/><Relationship Id="rId17" Type="http://schemas.openxmlformats.org/officeDocument/2006/relationships/image" Target="media/image4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customXml" Target="../customXML/item1.xml"/><Relationship Id="rId18" Type="http://schemas.openxmlformats.org/officeDocument/2006/relationships/image" Target="media/image3.png"/><Relationship Id="rId7" Type="http://schemas.openxmlformats.org/officeDocument/2006/relationships/image" Target="media/image12.png"/><Relationship Id="rId8" Type="http://schemas.openxmlformats.org/officeDocument/2006/relationships/image" Target="media/image2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png"/><Relationship Id="rId2" Type="http://schemas.openxmlformats.org/officeDocument/2006/relationships/image" Target="media/image8.png"/><Relationship Id="rId3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lJTvBbE2Ba+qUWmkQkp+PZY92A==">CgMxLjAyCWlkLmdqZGd4czIKaWQuMzBqMHpsbDgAciExWjlyVVpqelZQU0VIRGoyR0JOSV9INGh3Wi01djdWWVA=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